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Old English Grammatical Gender</w:t>
      </w:r>
    </w:p>
    <w:p w:rsidR="00000000" w:rsidDel="00000000" w:rsidP="00000000" w:rsidRDefault="00000000" w:rsidRPr="00000000" w14:paraId="00000002">
      <w:pPr>
        <w:spacing w:line="240" w:lineRule="auto"/>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 Old English and other Indo-European languages had a three-fold distinction of a grammatical category called gender. This is not the same as what is commonly called gender, where a rooster might be masculine, a hen feminine, etc. In Old English, the way words were assigned to a gender had little (or nothing) to do with biological sex or social constructions of gender. Associations between words and their grammatical gender are largely random. Below you will find examples of strong nouns of the three grammatical genders along with their accompanying demonstrative pronouns. A noun’s case changes according to its grammatical role, and its demonstrative (“the”, “that”) follows suit. There are different endings for singular and plural. Old English had four primary cases: nominative, accusative, genitive, and </w:t>
      </w:r>
      <w:r w:rsidDel="00000000" w:rsidR="00000000" w:rsidRPr="00000000">
        <w:rPr>
          <w:rFonts w:ascii="Times New Roman" w:cs="Times New Roman" w:eastAsia="Times New Roman" w:hAnsi="Times New Roman"/>
          <w:rtl w:val="0"/>
        </w:rPr>
        <w:t xml:space="preserve">dative. </w:t>
      </w:r>
      <w:r w:rsidDel="00000000" w:rsidR="00000000" w:rsidRPr="00000000">
        <w:rPr>
          <w:rFonts w:ascii="Times New Roman" w:cs="Times New Roman" w:eastAsia="Times New Roman" w:hAnsi="Times New Roman"/>
          <w:i w:val="1"/>
          <w:rtl w:val="0"/>
        </w:rPr>
        <w:t xml:space="preserve">Note: You may remember that there is a fifth case in Old English, called the instrumental case. Because it is a rare case that is inconsistently applied to the different genders, we have left </w:t>
      </w:r>
      <w:r w:rsidDel="00000000" w:rsidR="00000000" w:rsidRPr="00000000">
        <w:rPr>
          <w:rFonts w:ascii="Times New Roman" w:cs="Times New Roman" w:eastAsia="Times New Roman" w:hAnsi="Times New Roman"/>
          <w:i w:val="1"/>
          <w:rtl w:val="0"/>
        </w:rPr>
        <w:t xml:space="preserve">it out for the purposes of this exercise.</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Neuter Nouns | Example: </w:t>
      </w:r>
      <w:r w:rsidDel="00000000" w:rsidR="00000000" w:rsidRPr="00000000">
        <w:rPr>
          <w:rFonts w:ascii="Times New Roman" w:cs="Times New Roman" w:eastAsia="Times New Roman" w:hAnsi="Times New Roman"/>
          <w:i w:val="1"/>
          <w:rtl w:val="0"/>
        </w:rPr>
        <w:t xml:space="preserve">word</w:t>
      </w:r>
      <w:r w:rsidDel="00000000" w:rsidR="00000000" w:rsidRPr="00000000">
        <w:rPr>
          <w:rFonts w:ascii="Times New Roman" w:cs="Times New Roman" w:eastAsia="Times New Roman" w:hAnsi="Times New Roman"/>
          <w:rtl w:val="0"/>
        </w:rPr>
        <w:t xml:space="preserve"> (“word”)</w:t>
      </w:r>
    </w:p>
    <w:tbl>
      <w:tblPr>
        <w:tblStyle w:val="Table1"/>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230"/>
        <w:gridCol w:w="1125"/>
        <w:gridCol w:w="1215"/>
        <w:gridCol w:w="1440"/>
        <w:tblGridChange w:id="0">
          <w:tblGrid>
            <w:gridCol w:w="1830"/>
            <w:gridCol w:w="1230"/>
            <w:gridCol w:w="1125"/>
            <w:gridCol w:w="1215"/>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Case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Singular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Plural</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þæt</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Accusative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þæt</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þæs</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wordes</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þāra</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Dative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þǣm</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þǣm</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wordum</w:t>
            </w:r>
          </w:p>
        </w:tc>
      </w:tr>
    </w:tbl>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Masculine Nouns | Example: </w:t>
      </w:r>
      <w:r w:rsidDel="00000000" w:rsidR="00000000" w:rsidRPr="00000000">
        <w:rPr>
          <w:rFonts w:ascii="Times New Roman" w:cs="Times New Roman" w:eastAsia="Times New Roman" w:hAnsi="Times New Roman"/>
          <w:i w:val="1"/>
          <w:rtl w:val="0"/>
        </w:rPr>
        <w:t xml:space="preserve">stān</w:t>
      </w:r>
      <w:r w:rsidDel="00000000" w:rsidR="00000000" w:rsidRPr="00000000">
        <w:rPr>
          <w:rFonts w:ascii="Times New Roman" w:cs="Times New Roman" w:eastAsia="Times New Roman" w:hAnsi="Times New Roman"/>
          <w:rtl w:val="0"/>
        </w:rPr>
        <w:t xml:space="preserve"> (“stone”)</w:t>
      </w:r>
    </w:p>
    <w:tbl>
      <w:tblPr>
        <w:tblStyle w:val="Table2"/>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305"/>
        <w:gridCol w:w="1050"/>
        <w:gridCol w:w="1215"/>
        <w:gridCol w:w="1440"/>
        <w:tblGridChange w:id="0">
          <w:tblGrid>
            <w:gridCol w:w="1830"/>
            <w:gridCol w:w="1305"/>
            <w:gridCol w:w="1050"/>
            <w:gridCol w:w="1215"/>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Case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Singular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Plural</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stān</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stānas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Accusative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þone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stān</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stānas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þæs</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stānes</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þāra</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stāna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Dative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þǣm</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stāne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þǣm</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stānum</w:t>
            </w:r>
          </w:p>
        </w:tc>
      </w:tr>
    </w:tbl>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Feminine Nouns  Example: </w:t>
      </w:r>
      <w:r w:rsidDel="00000000" w:rsidR="00000000" w:rsidRPr="00000000">
        <w:rPr>
          <w:rFonts w:ascii="Times New Roman" w:cs="Times New Roman" w:eastAsia="Times New Roman" w:hAnsi="Times New Roman"/>
          <w:i w:val="1"/>
          <w:rtl w:val="0"/>
        </w:rPr>
        <w:t xml:space="preserve">sorg</w:t>
      </w:r>
      <w:r w:rsidDel="00000000" w:rsidR="00000000" w:rsidRPr="00000000">
        <w:rPr>
          <w:rFonts w:ascii="Times New Roman" w:cs="Times New Roman" w:eastAsia="Times New Roman" w:hAnsi="Times New Roman"/>
          <w:rtl w:val="0"/>
        </w:rPr>
        <w:t xml:space="preserve"> (“care”, “anxiety”, “sorrow”)</w:t>
      </w:r>
      <w:r w:rsidDel="00000000" w:rsidR="00000000" w:rsidRPr="00000000">
        <w:rPr>
          <w:rtl w:val="0"/>
        </w:rPr>
      </w:r>
    </w:p>
    <w:tbl>
      <w:tblPr>
        <w:tblStyle w:val="Table3"/>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305"/>
        <w:gridCol w:w="1050"/>
        <w:gridCol w:w="1215"/>
        <w:gridCol w:w="1440"/>
        <w:tblGridChange w:id="0">
          <w:tblGrid>
            <w:gridCol w:w="1830"/>
            <w:gridCol w:w="1305"/>
            <w:gridCol w:w="1050"/>
            <w:gridCol w:w="1215"/>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Case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Singular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Plural</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sēo</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sorg</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Accusative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sorge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þǣre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sorge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þāra</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Dative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þǣre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sorge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þǣm</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sorgum </w:t>
            </w:r>
          </w:p>
        </w:tc>
      </w:tr>
    </w:tbl>
    <w:p w:rsidR="00000000" w:rsidDel="00000000" w:rsidP="00000000" w:rsidRDefault="00000000" w:rsidRPr="00000000" w14:paraId="00000055">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r>
      <w:r w:rsidDel="00000000" w:rsidR="00000000" w:rsidRPr="00000000">
        <w:rPr>
          <w:rFonts w:ascii="Times New Roman" w:cs="Times New Roman" w:eastAsia="Times New Roman" w:hAnsi="Times New Roman"/>
          <w:i w:val="1"/>
          <w:rtl w:val="0"/>
        </w:rPr>
        <w:t xml:space="preserve">Can you identify at least three useful patterns</w:t>
      </w:r>
      <w:r w:rsidDel="00000000" w:rsidR="00000000" w:rsidRPr="00000000">
        <w:rPr>
          <w:rFonts w:ascii="Times New Roman" w:cs="Times New Roman" w:eastAsia="Times New Roman" w:hAnsi="Times New Roman"/>
          <w:i w:val="1"/>
          <w:rtl w:val="0"/>
        </w:rPr>
        <w:t xml:space="preserve"> in the above endings and demonstrative forms? </w:t>
      </w: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p>
    <w:p w:rsidR="00000000" w:rsidDel="00000000" w:rsidP="00000000" w:rsidRDefault="00000000" w:rsidRPr="00000000" w14:paraId="0000005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You have been provided with the definitions and grammatical genders for six more nouns. Using knowledge gained from the paradigms above, fill out the blanks in each table, including the corresponding demonstrative for each declined form. </w:t>
      </w: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þing (“thing”, “meeting”, “court”)  </w:t>
      </w:r>
      <w:r w:rsidDel="00000000" w:rsidR="00000000" w:rsidRPr="00000000">
        <w:rPr>
          <w:rFonts w:ascii="Times New Roman" w:cs="Times New Roman" w:eastAsia="Times New Roman" w:hAnsi="Times New Roman"/>
          <w:i w:val="1"/>
          <w:rtl w:val="0"/>
        </w:rPr>
        <w:t xml:space="preserve">neuter</w:t>
      </w:r>
      <w:r w:rsidDel="00000000" w:rsidR="00000000" w:rsidRPr="00000000">
        <w:rPr>
          <w:rtl w:val="0"/>
        </w:rPr>
      </w:r>
    </w:p>
    <w:tbl>
      <w:tblPr>
        <w:tblStyle w:val="Table4"/>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230"/>
        <w:gridCol w:w="1125"/>
        <w:gridCol w:w="1215"/>
        <w:gridCol w:w="1440"/>
        <w:tblGridChange w:id="0">
          <w:tblGrid>
            <w:gridCol w:w="1830"/>
            <w:gridCol w:w="1230"/>
            <w:gridCol w:w="1125"/>
            <w:gridCol w:w="1215"/>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Case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Singular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Plural</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þæt</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Accusative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þæt</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þing</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þinges</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þāra</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Dative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þǣm</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þinge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þingum</w:t>
            </w:r>
          </w:p>
        </w:tc>
      </w:tr>
    </w:tbl>
    <w:p w:rsidR="00000000" w:rsidDel="00000000" w:rsidP="00000000" w:rsidRDefault="00000000" w:rsidRPr="00000000" w14:paraId="0000007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2.wīf (“woman”)  </w:t>
      </w:r>
      <w:r w:rsidDel="00000000" w:rsidR="00000000" w:rsidRPr="00000000">
        <w:rPr>
          <w:rFonts w:ascii="Times New Roman" w:cs="Times New Roman" w:eastAsia="Times New Roman" w:hAnsi="Times New Roman"/>
          <w:i w:val="1"/>
          <w:rtl w:val="0"/>
        </w:rPr>
        <w:t xml:space="preserve">neuter</w:t>
      </w:r>
      <w:r w:rsidDel="00000000" w:rsidR="00000000" w:rsidRPr="00000000">
        <w:rPr>
          <w:rtl w:val="0"/>
        </w:rPr>
      </w:r>
    </w:p>
    <w:tbl>
      <w:tblPr>
        <w:tblStyle w:val="Table5"/>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230"/>
        <w:gridCol w:w="1125"/>
        <w:gridCol w:w="1215"/>
        <w:gridCol w:w="1440"/>
        <w:tblGridChange w:id="0">
          <w:tblGrid>
            <w:gridCol w:w="1830"/>
            <w:gridCol w:w="1230"/>
            <w:gridCol w:w="1125"/>
            <w:gridCol w:w="1215"/>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Case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Singular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Plural</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þæt</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wīf</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wīf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Accusative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þæs</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wīfes</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þāra</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wīfa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Dative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þǣm</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wīfum</w:t>
            </w:r>
          </w:p>
        </w:tc>
      </w:tr>
    </w:tbl>
    <w:p w:rsidR="00000000" w:rsidDel="00000000" w:rsidP="00000000" w:rsidRDefault="00000000" w:rsidRPr="00000000" w14:paraId="0000009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3.cyning (“king”)  </w:t>
      </w:r>
      <w:r w:rsidDel="00000000" w:rsidR="00000000" w:rsidRPr="00000000">
        <w:rPr>
          <w:rFonts w:ascii="Times New Roman" w:cs="Times New Roman" w:eastAsia="Times New Roman" w:hAnsi="Times New Roman"/>
          <w:i w:val="1"/>
          <w:rtl w:val="0"/>
        </w:rPr>
        <w:t xml:space="preserve">masculine</w:t>
      </w:r>
      <w:r w:rsidDel="00000000" w:rsidR="00000000" w:rsidRPr="00000000">
        <w:rPr>
          <w:rtl w:val="0"/>
        </w:rPr>
      </w:r>
    </w:p>
    <w:tbl>
      <w:tblPr>
        <w:tblStyle w:val="Table6"/>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305"/>
        <w:gridCol w:w="1050"/>
        <w:gridCol w:w="1215"/>
        <w:gridCol w:w="1440"/>
        <w:tblGridChange w:id="0">
          <w:tblGrid>
            <w:gridCol w:w="1830"/>
            <w:gridCol w:w="1305"/>
            <w:gridCol w:w="1050"/>
            <w:gridCol w:w="1215"/>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Case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Singular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Plural</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cyning</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cyningas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Accusative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þone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cyningas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þæs</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cyninga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Dative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þǣm</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cyninge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cyningum</w:t>
            </w:r>
          </w:p>
        </w:tc>
      </w:tr>
    </w:tbl>
    <w:p w:rsidR="00000000" w:rsidDel="00000000" w:rsidP="00000000" w:rsidRDefault="00000000" w:rsidRPr="00000000" w14:paraId="000000A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4.hund (“dog”) </w:t>
      </w:r>
      <w:r w:rsidDel="00000000" w:rsidR="00000000" w:rsidRPr="00000000">
        <w:rPr>
          <w:rFonts w:ascii="Times New Roman" w:cs="Times New Roman" w:eastAsia="Times New Roman" w:hAnsi="Times New Roman"/>
          <w:i w:val="1"/>
          <w:rtl w:val="0"/>
        </w:rPr>
        <w:t xml:space="preserve">masculine</w:t>
      </w:r>
      <w:r w:rsidDel="00000000" w:rsidR="00000000" w:rsidRPr="00000000">
        <w:rPr>
          <w:rtl w:val="0"/>
        </w:rPr>
      </w:r>
    </w:p>
    <w:tbl>
      <w:tblPr>
        <w:tblStyle w:val="Table7"/>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305"/>
        <w:gridCol w:w="1050"/>
        <w:gridCol w:w="1215"/>
        <w:gridCol w:w="1440"/>
        <w:tblGridChange w:id="0">
          <w:tblGrid>
            <w:gridCol w:w="1830"/>
            <w:gridCol w:w="1305"/>
            <w:gridCol w:w="1050"/>
            <w:gridCol w:w="1215"/>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Case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Singular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Plural</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hund</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Accusative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þāra</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Dative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þǣm</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hunde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5.lār (“lore”, “teaching”, “doctrine”)  </w:t>
      </w:r>
      <w:r w:rsidDel="00000000" w:rsidR="00000000" w:rsidRPr="00000000">
        <w:rPr>
          <w:rFonts w:ascii="Times New Roman" w:cs="Times New Roman" w:eastAsia="Times New Roman" w:hAnsi="Times New Roman"/>
          <w:i w:val="1"/>
          <w:rtl w:val="0"/>
        </w:rPr>
        <w:t xml:space="preserve">feminine</w:t>
      </w:r>
      <w:r w:rsidDel="00000000" w:rsidR="00000000" w:rsidRPr="00000000">
        <w:rPr>
          <w:rtl w:val="0"/>
        </w:rPr>
      </w:r>
    </w:p>
    <w:tbl>
      <w:tblPr>
        <w:tblStyle w:val="Table8"/>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305"/>
        <w:gridCol w:w="1050"/>
        <w:gridCol w:w="1215"/>
        <w:gridCol w:w="1440"/>
        <w:tblGridChange w:id="0">
          <w:tblGrid>
            <w:gridCol w:w="1830"/>
            <w:gridCol w:w="1305"/>
            <w:gridCol w:w="1050"/>
            <w:gridCol w:w="1215"/>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Case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Singular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Plural</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sēo</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lāra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Accusative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lāre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þǣre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lāre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lāra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Dative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lāre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lārum </w:t>
            </w:r>
          </w:p>
        </w:tc>
      </w:tr>
    </w:tbl>
    <w:p w:rsidR="00000000" w:rsidDel="00000000" w:rsidP="00000000" w:rsidRDefault="00000000" w:rsidRPr="00000000" w14:paraId="000000E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6.ides</w:t>
      </w:r>
      <w:r w:rsidDel="00000000" w:rsidR="00000000" w:rsidRPr="00000000">
        <w:rPr>
          <w:rFonts w:ascii="Times New Roman" w:cs="Times New Roman" w:eastAsia="Times New Roman" w:hAnsi="Times New Roman"/>
          <w:rtl w:val="0"/>
        </w:rPr>
        <w:t xml:space="preserve"> (“lady”) </w:t>
      </w:r>
      <w:r w:rsidDel="00000000" w:rsidR="00000000" w:rsidRPr="00000000">
        <w:rPr>
          <w:rFonts w:ascii="Times New Roman" w:cs="Times New Roman" w:eastAsia="Times New Roman" w:hAnsi="Times New Roman"/>
          <w:i w:val="1"/>
          <w:rtl w:val="0"/>
        </w:rPr>
        <w:t xml:space="preserve">feminine</w:t>
      </w:r>
      <w:r w:rsidDel="00000000" w:rsidR="00000000" w:rsidRPr="00000000">
        <w:rPr>
          <w:rtl w:val="0"/>
        </w:rPr>
      </w:r>
    </w:p>
    <w:tbl>
      <w:tblPr>
        <w:tblStyle w:val="Table9"/>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305"/>
        <w:gridCol w:w="1050"/>
        <w:gridCol w:w="1215"/>
        <w:gridCol w:w="1440"/>
        <w:tblGridChange w:id="0">
          <w:tblGrid>
            <w:gridCol w:w="1830"/>
            <w:gridCol w:w="1305"/>
            <w:gridCol w:w="1050"/>
            <w:gridCol w:w="1215"/>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Case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Singular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Plural</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Accusative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idese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Genitive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New Roman" w:cs="Times New Roman" w:eastAsia="Times New Roman" w:hAnsi="Times New Roman"/>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þāra</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Dative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þǣre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idese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F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Using knowledge gained from the paradigms above, can you complete these sentences in Old English? </w:t>
      </w:r>
    </w:p>
    <w:p w:rsidR="00000000" w:rsidDel="00000000" w:rsidP="00000000" w:rsidRDefault="00000000" w:rsidRPr="00000000" w14:paraId="0000010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___________________ lufaþ __________________ </w:t>
      </w:r>
    </w:p>
    <w:p w:rsidR="00000000" w:rsidDel="00000000" w:rsidP="00000000" w:rsidRDefault="00000000" w:rsidRPr="00000000" w14:paraId="00000102">
      <w:pPr>
        <w:spacing w:line="240"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(The dog           loves </w:t>
        <w:tab/>
        <w:t xml:space="preserve">the lady)</w:t>
      </w:r>
    </w:p>
    <w:p w:rsidR="00000000" w:rsidDel="00000000" w:rsidP="00000000" w:rsidRDefault="00000000" w:rsidRPr="00000000" w14:paraId="00000103">
      <w:pPr>
        <w:spacing w:line="24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__________________ licodon  ________________ </w:t>
      </w:r>
    </w:p>
    <w:p w:rsidR="00000000" w:rsidDel="00000000" w:rsidP="00000000" w:rsidRDefault="00000000" w:rsidRPr="00000000" w14:paraId="00000106">
      <w:pPr>
        <w:spacing w:line="240"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dogs </w:t>
        <w:tab/>
        <w:t xml:space="preserve">   licked       the stone)</w:t>
      </w:r>
    </w:p>
    <w:p w:rsidR="00000000" w:rsidDel="00000000" w:rsidP="00000000" w:rsidRDefault="00000000" w:rsidRPr="00000000" w14:paraId="000001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___________________ is ___________________________ </w:t>
      </w:r>
    </w:p>
    <w:p w:rsidR="00000000" w:rsidDel="00000000" w:rsidP="00000000" w:rsidRDefault="00000000" w:rsidRPr="00000000" w14:paraId="00000109">
      <w:pPr>
        <w:spacing w:line="240"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doctrine</w:t>
        <w:tab/>
        <w:t xml:space="preserve">    is </w:t>
        <w:tab/>
        <w:tab/>
        <w:t xml:space="preserve">the king’s word)</w:t>
      </w:r>
    </w:p>
    <w:p w:rsidR="00000000" w:rsidDel="00000000" w:rsidP="00000000" w:rsidRDefault="00000000" w:rsidRPr="00000000" w14:paraId="0000010A">
      <w:pPr>
        <w:spacing w:line="240" w:lineRule="auto"/>
        <w:ind w:left="72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_________________________ wæs for  _____________________ </w:t>
      </w:r>
    </w:p>
    <w:p w:rsidR="00000000" w:rsidDel="00000000" w:rsidP="00000000" w:rsidRDefault="00000000" w:rsidRPr="00000000" w14:paraId="0000010C">
      <w:pPr>
        <w:spacing w:line="240"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women’s sorrow        was for             the ladies)</w:t>
      </w:r>
    </w:p>
    <w:p w:rsidR="00000000" w:rsidDel="00000000" w:rsidP="00000000" w:rsidRDefault="00000000" w:rsidRPr="00000000" w14:paraId="0000010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________________ frætwaþ ____________________ mid _____________________ </w:t>
      </w:r>
    </w:p>
    <w:p w:rsidR="00000000" w:rsidDel="00000000" w:rsidP="00000000" w:rsidRDefault="00000000" w:rsidRPr="00000000" w14:paraId="0000010F">
      <w:pPr>
        <w:spacing w:line="240"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lady         adorns          the king’s stone         with          things)</w:t>
      </w:r>
    </w:p>
    <w:p w:rsidR="00000000" w:rsidDel="00000000" w:rsidP="00000000" w:rsidRDefault="00000000" w:rsidRPr="00000000" w14:paraId="000001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___________________  hlyston  ____________________________ </w:t>
      </w:r>
    </w:p>
    <w:p w:rsidR="00000000" w:rsidDel="00000000" w:rsidP="00000000" w:rsidRDefault="00000000" w:rsidRPr="00000000" w14:paraId="00000112">
      <w:pPr>
        <w:spacing w:line="240"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kings</w:t>
        <w:tab/>
        <w:t xml:space="preserve">       heard         the words of the woman)</w:t>
      </w:r>
    </w:p>
    <w:p w:rsidR="00000000" w:rsidDel="00000000" w:rsidP="00000000" w:rsidRDefault="00000000" w:rsidRPr="00000000" w14:paraId="00000113">
      <w:pPr>
        <w:spacing w:line="24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